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黑体" w:hAnsi="宋体" w:eastAsia="黑体" w:cs="黑体"/>
          <w:sz w:val="32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 w:val="24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"/>
        </w:rPr>
        <w:t>广州优质民营建筑业企业白名单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"/>
        </w:rPr>
        <w:t>（第一批）评选标准</w:t>
      </w:r>
      <w:bookmarkStart w:id="1" w:name="_GoBack"/>
      <w:bookmarkEnd w:id="1"/>
    </w:p>
    <w:tbl>
      <w:tblPr>
        <w:tblStyle w:val="3"/>
        <w:tblpPr w:leftFromText="180" w:rightFromText="180" w:vertAnchor="text" w:horzAnchor="page" w:tblpX="1781" w:tblpY="616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4085"/>
        <w:gridCol w:w="3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评审内容</w:t>
            </w:r>
          </w:p>
        </w:tc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需提交的资料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企业基本情况</w:t>
            </w:r>
          </w:p>
        </w:tc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申报企业的营业执照、资质证书及安全生产许可证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1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承接业绩情况：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申报企业2018年至今（以合同签订时间为准）在广东省内承揽保利发展、保利置业、华润置地、万科地产、越秀地产、新世界中国、中海地产、粤海置地、招商蛇口、龙湖地产、太古地产、和记黄埔地产、华发股份、格力地产、龙光地产、新城控股、新鸿基、长隆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（以下称房地产商）的项目情况</w:t>
            </w:r>
          </w:p>
        </w:tc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提供申请企业与房地产商或房地产商下属分公司、子公司、项目公司签订的房屋建筑工程施工合同关键页。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注：提供的合同关键页应能够体现工程名称、合同签订方全称、合同签订时间、合同金额、承包内容、工期、质量标准等内容。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市场专业评价：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申报企业被列入上述房地产商现行有效的承包商名录、集采库或白名单等</w:t>
            </w:r>
          </w:p>
        </w:tc>
        <w:tc>
          <w:tcPr>
            <w:tcW w:w="3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提供相关证明材料，如房地产商出具的相关文件、房地产商网站相关截图等。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仿宋_GB2312" w:hAnsi="宋体" w:eastAsia="仿宋_GB2312" w:cs="仿宋_GB2312"/>
          <w:sz w:val="24"/>
          <w:szCs w:val="24"/>
          <w:lang w:val="en-US"/>
        </w:rPr>
      </w:pPr>
      <w:r>
        <w:rPr>
          <w:rFonts w:hint="eastAsia" w:ascii="仿宋_GB2312" w:hAnsi="宋体" w:eastAsia="仿宋_GB2312" w:cs="仿宋_GB2312"/>
          <w:kern w:val="2"/>
          <w:sz w:val="24"/>
          <w:szCs w:val="24"/>
          <w:lang w:val="en-US" w:eastAsia="zh-CN" w:bidi="ar"/>
        </w:rPr>
        <w:t>注：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仿宋_GB2312" w:hAnsi="宋体" w:eastAsia="仿宋_GB2312" w:cs="仿宋_GB2312"/>
          <w:sz w:val="24"/>
          <w:szCs w:val="24"/>
          <w:lang w:val="en-US"/>
        </w:rPr>
      </w:pPr>
      <w:r>
        <w:rPr>
          <w:rFonts w:hint="eastAsia" w:ascii="仿宋_GB2312" w:hAnsi="宋体" w:eastAsia="仿宋_GB2312" w:cs="仿宋_GB2312"/>
          <w:kern w:val="2"/>
          <w:sz w:val="24"/>
          <w:szCs w:val="24"/>
          <w:lang w:val="en-US" w:eastAsia="zh-CN" w:bidi="ar"/>
        </w:rPr>
        <w:t>1.申报企业可根据自身情况提交证明“承接业绩情况”或者“市场专业评价”的相关资料，也可两类资料均提交。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仿宋_GB2312" w:hAnsi="宋体" w:eastAsia="仿宋_GB2312" w:cs="仿宋_GB2312"/>
          <w:sz w:val="24"/>
          <w:szCs w:val="24"/>
          <w:lang w:val="en-US"/>
        </w:rPr>
      </w:pPr>
      <w:r>
        <w:rPr>
          <w:rFonts w:hint="eastAsia" w:ascii="仿宋_GB2312" w:hAnsi="宋体" w:eastAsia="仿宋_GB2312" w:cs="仿宋_GB2312"/>
          <w:kern w:val="2"/>
          <w:sz w:val="24"/>
          <w:szCs w:val="24"/>
          <w:lang w:val="en-US" w:eastAsia="zh-CN" w:bidi="ar"/>
        </w:rPr>
        <w:t>2.申报企业满足“承接业绩情况”或者“市场专业评价”之一，且符合《关于建立广州优质民营建筑业企业白名单（第一批）的通知》第二点“申报资格条件”的，即可入选广州优质民营建筑业企业白名单（第一批）。</w:t>
      </w:r>
    </w:p>
    <w:p/>
    <w:sectPr>
      <w:pgSz w:w="11906" w:h="16838"/>
      <w:pgMar w:top="1440" w:right="1803" w:bottom="1440" w:left="1803" w:header="851" w:footer="992" w:gutter="0"/>
      <w:paperSrc/>
      <w:cols w:space="425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方正小标宋简体">
    <w:panose1 w:val="02000000000000000000"/>
    <w:charset w:val="86"/>
    <w:family w:val="auto"/>
    <w:pitch w:val="variable"/>
    <w:sig w:usb0="00000001" w:usb1="08000000" w:usb2="00000000" w:usb3="00000000" w:csb0="00040000" w:csb1="00000000"/>
    <w:embedRegular r:id="rId1" w:fontKey="{411CE1D1-E1BA-405E-9E55-73BC7A92A8AB}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  <w:embedRegular r:id="rId2" w:fontKey="{8C58CCD6-A463-4A5D-B408-AD1F07CD2286}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方正小标宋简体">
    <w:panose1 w:val="02000000000000000000"/>
    <w:charset w:val="86"/>
    <w:family w:val="auto"/>
    <w:pitch w:val="variable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kNDE0ZGI2OTIwYzM1OTQ4MjNkYWU1YmI4N2Q4YzUifQ=="/>
  </w:docVars>
  <w:rsids>
    <w:rsidRoot w:val="099D4F59"/>
    <w:rsid w:val="099D4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2024-02-27T03:35:00Z</dcterms:created>
  <dc:creator>加薪</dc:creator>
  <cp:lastModifiedBy>加薪</cp:lastModifiedBy>
  <dcterms:modified xsi:type="dcterms:W3CDTF">2024-02-27T03:37:30Z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A05169AB8AC140BDB2FE9C5B051BB60B_11</vt:lpwstr>
  </property>
</Properties>
</file>